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  <w:rtl w:val="0"/>
          <w:lang w:val="en-US"/>
        </w:rPr>
        <w:t>NORTH FORK PAYETTE RIVER WATERSHED COALITION - LAND USE &amp; DEVELOPMENT WORK GROUP REPORT</w:t>
      </w: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tbl>
      <w:tblPr>
        <w:tblW w:w="1908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009"/>
        <w:gridCol w:w="5543"/>
        <w:gridCol w:w="4871"/>
        <w:gridCol w:w="3657"/>
      </w:tblGrid>
      <w:tr>
        <w:tblPrEx>
          <w:shd w:val="clear" w:color="auto" w:fill="auto"/>
        </w:tblPrEx>
        <w:trPr>
          <w:trHeight w:val="560" w:hRule="atLeast"/>
        </w:trPr>
        <w:tc>
          <w:tcPr>
            <w:tcW w:type="dxa" w:w="50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IDEAL OUTCOME</w:t>
            </w:r>
          </w:p>
        </w:tc>
        <w:tc>
          <w:tcPr>
            <w:tcW w:type="dxa" w:w="55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TOP PRIORITIES</w:t>
            </w:r>
          </w:p>
        </w:tc>
        <w:tc>
          <w:tcPr>
            <w:tcW w:type="dxa" w:w="4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ACTION ITEMS</w:t>
            </w:r>
          </w:p>
        </w:tc>
        <w:tc>
          <w:tcPr>
            <w:tcW w:type="dxa" w:w="3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NOTES, EXAMPLES, CASE STUDIES</w:t>
            </w:r>
          </w:p>
        </w:tc>
      </w:tr>
      <w:tr>
        <w:tblPrEx>
          <w:shd w:val="clear" w:color="auto" w:fill="auto"/>
        </w:tblPrEx>
        <w:trPr>
          <w:trHeight w:val="1680" w:hRule="atLeast"/>
        </w:trPr>
        <w:tc>
          <w:tcPr>
            <w:tcW w:type="dxa" w:w="50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Projects in the Watershed using BMPs and Code follow-through</w:t>
            </w:r>
          </w:p>
        </w:tc>
        <w:tc>
          <w:tcPr>
            <w:tcW w:type="dxa" w:w="55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Develop a menu of BMPs for development in rural and urban settings</w:t>
            </w:r>
          </w:p>
          <w:p>
            <w:pPr>
              <w:pStyle w:val="Table Style 2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Training, checklists, and enforcement of BMPs</w:t>
            </w:r>
          </w:p>
          <w:p>
            <w:pPr>
              <w:pStyle w:val="Table Style 2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Establishment of XX-foot setback from any water body with a TMDL</w:t>
            </w:r>
          </w:p>
        </w:tc>
        <w:tc>
          <w:tcPr>
            <w:tcW w:type="dxa" w:w="4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120" w:hRule="atLeast"/>
        </w:trPr>
        <w:tc>
          <w:tcPr>
            <w:tcW w:type="dxa" w:w="50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 xml:space="preserve">Rural and urban stormwater filtered and recharged </w:t>
            </w:r>
          </w:p>
        </w:tc>
        <w:tc>
          <w:tcPr>
            <w:tcW w:type="dxa" w:w="55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Adequate stormwater design standards in place</w:t>
            </w:r>
          </w:p>
          <w:p>
            <w:pPr>
              <w:pStyle w:val="Table Style 2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Contractor training</w:t>
            </w:r>
          </w:p>
          <w:p>
            <w:pPr>
              <w:pStyle w:val="Table Style 2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Inspections and enforcement</w:t>
            </w:r>
          </w:p>
        </w:tc>
        <w:tc>
          <w:tcPr>
            <w:tcW w:type="dxa" w:w="4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120" w:hRule="atLeast"/>
        </w:trPr>
        <w:tc>
          <w:tcPr>
            <w:tcW w:type="dxa" w:w="50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Wetlands protected, properly maintained, and wetland banks established</w:t>
            </w:r>
          </w:p>
        </w:tc>
        <w:tc>
          <w:tcPr>
            <w:tcW w:type="dxa" w:w="55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Adequate buffers around wetlands as part of development approvals</w:t>
            </w:r>
          </w:p>
          <w:p>
            <w:pPr>
              <w:pStyle w:val="Table Style 2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Wetland maintenance plans and enforcement</w:t>
            </w:r>
          </w:p>
          <w:p>
            <w:pPr>
              <w:pStyle w:val="Table Style 2"/>
              <w:numPr>
                <w:ilvl w:val="0"/>
                <w:numId w:val="3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Identify and develop wetland banks</w:t>
            </w:r>
          </w:p>
        </w:tc>
        <w:tc>
          <w:tcPr>
            <w:tcW w:type="dxa" w:w="4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40" w:hRule="atLeast"/>
        </w:trPr>
        <w:tc>
          <w:tcPr>
            <w:tcW w:type="dxa" w:w="50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Lakes, rivers, and streams protected from shoreline erosion</w:t>
            </w:r>
          </w:p>
        </w:tc>
        <w:tc>
          <w:tcPr>
            <w:tcW w:type="dxa" w:w="55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Identify most vulnerable shorelines</w:t>
            </w:r>
          </w:p>
          <w:p>
            <w:pPr>
              <w:pStyle w:val="Table Style 2"/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Implement riparian buffers and shoreline erosion protections measures</w:t>
            </w:r>
          </w:p>
        </w:tc>
        <w:tc>
          <w:tcPr>
            <w:tcW w:type="dxa" w:w="4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680" w:hRule="atLeast"/>
        </w:trPr>
        <w:tc>
          <w:tcPr>
            <w:tcW w:type="dxa" w:w="50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sz w:val="24"/>
                <w:szCs w:val="24"/>
                <w:rtl w:val="0"/>
              </w:rPr>
              <w:t>Residents, students, ranchers, contractors, recreation enthusiasts educated about water resources and best practices.</w:t>
            </w:r>
          </w:p>
        </w:tc>
        <w:tc>
          <w:tcPr>
            <w:tcW w:type="dxa" w:w="55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5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Construction protections to avoid contamination of our lakes and rivers</w:t>
            </w:r>
          </w:p>
          <w:p>
            <w:pPr>
              <w:pStyle w:val="Table Style 2"/>
              <w:numPr>
                <w:ilvl w:val="0"/>
                <w:numId w:val="5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Lakefront property owners</w:t>
            </w:r>
          </w:p>
          <w:p>
            <w:pPr>
              <w:pStyle w:val="Table Style 2"/>
              <w:numPr>
                <w:ilvl w:val="0"/>
                <w:numId w:val="5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General education about watersheds, wetlands, erosion control, septic fields, fertilizer use, etc.</w:t>
            </w:r>
          </w:p>
        </w:tc>
        <w:tc>
          <w:tcPr>
            <w:tcW w:type="dxa" w:w="4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50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4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8"/>
          <w:szCs w:val="28"/>
        </w:rPr>
      </w:pPr>
    </w:p>
    <w:p>
      <w:pPr>
        <w:pStyle w:val="Body"/>
        <w:jc w:val="center"/>
      </w:pPr>
      <w:r>
        <w:rPr>
          <w:sz w:val="28"/>
          <w:szCs w:val="28"/>
          <w:u w:val="single"/>
        </w:rPr>
      </w:r>
    </w:p>
    <w:sectPr>
      <w:headerReference w:type="default" r:id="rId4"/>
      <w:footerReference w:type="default" r:id="rId5"/>
      <w:pgSz w:w="20160" w:h="12240" w:orient="landscape"/>
      <w:pgMar w:top="360" w:right="360" w:bottom="36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