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en-US"/>
        </w:rPr>
        <w:t>NORTH FORK PAYETTE RIVER WATERSHED COALITION - LAND USE &amp; DEVELOPMENT WORK GROUP REPORT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tbl>
      <w:tblPr>
        <w:tblW w:w="19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09"/>
        <w:gridCol w:w="5543"/>
        <w:gridCol w:w="4871"/>
        <w:gridCol w:w="3657"/>
      </w:tblGrid>
      <w:tr>
        <w:tblPrEx>
          <w:shd w:val="clear" w:color="auto" w:fill="auto"/>
        </w:tblPrEx>
        <w:trPr>
          <w:trHeight w:val="560" w:hRule="atLeast"/>
        </w:trPr>
        <w:tc>
          <w:tcPr>
            <w:tcW w:type="dxa" w:w="5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IDEAL OUTCOME</w:t>
            </w:r>
          </w:p>
        </w:tc>
        <w:tc>
          <w:tcPr>
            <w:tcW w:type="dxa" w:w="5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TOP PRIORITIES</w:t>
            </w:r>
          </w:p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ACTION ITEMS</w:t>
            </w:r>
          </w:p>
        </w:tc>
        <w:tc>
          <w:tcPr>
            <w:tcW w:type="dxa" w:w="3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NOTES, EXAMPLES, CASE STUDIES</w:t>
            </w:r>
          </w:p>
        </w:tc>
      </w:tr>
      <w:tr>
        <w:tblPrEx>
          <w:shd w:val="clear" w:color="auto" w:fill="auto"/>
        </w:tblPrEx>
        <w:trPr>
          <w:trHeight w:val="1680" w:hRule="atLeast"/>
        </w:trPr>
        <w:tc>
          <w:tcPr>
            <w:tcW w:type="dxa" w:w="5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Projects in the Watershed using BMPs and Code follow-through</w:t>
            </w:r>
          </w:p>
        </w:tc>
        <w:tc>
          <w:tcPr>
            <w:tcW w:type="dxa" w:w="5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Develop a menu of BMPs for development in rural and urban settings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Training, checklists, and enforcement of BMPs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Establishment of XX-foot setback from any water body with a TMDL</w:t>
            </w:r>
          </w:p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20" w:hRule="atLeast"/>
        </w:trPr>
        <w:tc>
          <w:tcPr>
            <w:tcW w:type="dxa" w:w="5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Rural and urban stormwater filtered and recharged </w:t>
            </w:r>
          </w:p>
        </w:tc>
        <w:tc>
          <w:tcPr>
            <w:tcW w:type="dxa" w:w="5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Adequate stormwater design standards in place</w:t>
            </w:r>
          </w:p>
          <w:p>
            <w:pPr>
              <w:pStyle w:val="Table Style 2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Contractor training</w:t>
            </w:r>
          </w:p>
          <w:p>
            <w:pPr>
              <w:pStyle w:val="Table Style 2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Inspections and enforcement</w:t>
            </w:r>
          </w:p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20" w:hRule="atLeast"/>
        </w:trPr>
        <w:tc>
          <w:tcPr>
            <w:tcW w:type="dxa" w:w="5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Wetlands protected, properly maintained, and wetland banks established</w:t>
            </w:r>
          </w:p>
        </w:tc>
        <w:tc>
          <w:tcPr>
            <w:tcW w:type="dxa" w:w="5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Adequate buffers around wetlands as part of development approvals</w:t>
            </w:r>
          </w:p>
          <w:p>
            <w:pPr>
              <w:pStyle w:val="Table Style 2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Wetland maintenance plans and enforcement</w:t>
            </w:r>
          </w:p>
          <w:p>
            <w:pPr>
              <w:pStyle w:val="Table Style 2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Identify and develop wetland banks</w:t>
            </w:r>
          </w:p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type="dxa" w:w="5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Lakes, rivers, and streams protected from shoreline erosion</w:t>
            </w:r>
          </w:p>
        </w:tc>
        <w:tc>
          <w:tcPr>
            <w:tcW w:type="dxa" w:w="5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Identify most vulnerable shorelines</w:t>
            </w:r>
          </w:p>
          <w:p>
            <w:pPr>
              <w:pStyle w:val="Table Style 2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Implement riparian buffers and shoreline erosion protections measures</w:t>
            </w:r>
          </w:p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80" w:hRule="atLeast"/>
        </w:trPr>
        <w:tc>
          <w:tcPr>
            <w:tcW w:type="dxa" w:w="5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Residents, students, ranchers, contractors, recreation enthusiasts educated about water resources and best practices.</w:t>
            </w:r>
          </w:p>
        </w:tc>
        <w:tc>
          <w:tcPr>
            <w:tcW w:type="dxa" w:w="5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Construction protections to avoid contamination of our lakes and rivers</w:t>
            </w:r>
          </w:p>
          <w:p>
            <w:pPr>
              <w:pStyle w:val="Table Style 2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Lakefront property owners</w:t>
            </w:r>
          </w:p>
          <w:p>
            <w:pPr>
              <w:pStyle w:val="Table Style 2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General education about watersheds, wetlands, erosion control, septic fields, fertilizer use, etc.</w:t>
            </w:r>
          </w:p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center"/>
      </w:pPr>
      <w:r>
        <w:rPr>
          <w:sz w:val="28"/>
          <w:szCs w:val="28"/>
          <w:u w:val="single"/>
        </w:rPr>
      </w:r>
    </w:p>
    <w:sectPr>
      <w:headerReference w:type="default" r:id="rId4"/>
      <w:footerReference w:type="default" r:id="rId5"/>
      <w:pgSz w:w="20160" w:h="12240" w:orient="landscape"/>
      <w:pgMar w:top="360" w:right="360" w:bottom="36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